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23" w:rsidRPr="00D03504" w:rsidRDefault="0018217C" w:rsidP="007F3AB0">
      <w:pPr>
        <w:jc w:val="center"/>
        <w:rPr>
          <w:rFonts w:ascii="方正大标宋简体" w:eastAsia="方正大标宋简体" w:hAnsi="黑体"/>
          <w:spacing w:val="-14"/>
          <w:sz w:val="44"/>
          <w:szCs w:val="44"/>
        </w:rPr>
      </w:pPr>
      <w:r w:rsidRPr="00D03504">
        <w:rPr>
          <w:rFonts w:ascii="方正大标宋简体" w:eastAsia="方正大标宋简体" w:hAnsi="黑体" w:hint="eastAsia"/>
          <w:spacing w:val="-14"/>
          <w:sz w:val="44"/>
          <w:szCs w:val="44"/>
        </w:rPr>
        <w:t>《数据中心</w:t>
      </w:r>
      <w:r w:rsidR="005811E2">
        <w:rPr>
          <w:rFonts w:ascii="方正大标宋简体" w:eastAsia="方正大标宋简体" w:hAnsi="黑体" w:hint="eastAsia"/>
          <w:spacing w:val="-14"/>
          <w:sz w:val="44"/>
          <w:szCs w:val="44"/>
        </w:rPr>
        <w:t>绿色</w:t>
      </w:r>
      <w:r w:rsidRPr="00D03504">
        <w:rPr>
          <w:rFonts w:ascii="方正大标宋简体" w:eastAsia="方正大标宋简体" w:hAnsi="黑体" w:hint="eastAsia"/>
          <w:spacing w:val="-14"/>
          <w:sz w:val="44"/>
          <w:szCs w:val="44"/>
        </w:rPr>
        <w:t>等级</w:t>
      </w:r>
      <w:r w:rsidR="005811E2">
        <w:rPr>
          <w:rFonts w:ascii="方正大标宋简体" w:eastAsia="方正大标宋简体" w:hAnsi="黑体" w:hint="eastAsia"/>
          <w:spacing w:val="-14"/>
          <w:sz w:val="44"/>
          <w:szCs w:val="44"/>
        </w:rPr>
        <w:t>评价</w:t>
      </w:r>
      <w:r w:rsidRPr="00D03504">
        <w:rPr>
          <w:rFonts w:ascii="方正大标宋简体" w:eastAsia="方正大标宋简体" w:hAnsi="黑体" w:hint="eastAsia"/>
          <w:spacing w:val="-14"/>
          <w:sz w:val="44"/>
          <w:szCs w:val="44"/>
        </w:rPr>
        <w:t>》团体标准</w:t>
      </w:r>
    </w:p>
    <w:p w:rsidR="009D6756" w:rsidRPr="00D03504" w:rsidRDefault="0018217C" w:rsidP="007F3AB0">
      <w:pPr>
        <w:jc w:val="center"/>
        <w:rPr>
          <w:rFonts w:ascii="方正大标宋简体" w:eastAsia="方正大标宋简体" w:hAnsi="黑体"/>
          <w:sz w:val="44"/>
          <w:szCs w:val="44"/>
        </w:rPr>
      </w:pPr>
      <w:r w:rsidRPr="00D03504">
        <w:rPr>
          <w:rFonts w:ascii="方正大标宋简体" w:eastAsia="方正大标宋简体" w:hAnsi="黑体" w:hint="eastAsia"/>
          <w:sz w:val="44"/>
          <w:szCs w:val="44"/>
        </w:rPr>
        <w:t>（征求意见稿）编制说明</w:t>
      </w:r>
    </w:p>
    <w:p w:rsidR="003D1C19" w:rsidRPr="003D1C19" w:rsidRDefault="003D1C19" w:rsidP="007F3AB0">
      <w:pPr>
        <w:jc w:val="center"/>
        <w:rPr>
          <w:rFonts w:ascii="黑体" w:eastAsia="黑体" w:hAnsi="黑体"/>
          <w:sz w:val="36"/>
          <w:szCs w:val="36"/>
        </w:rPr>
      </w:pPr>
    </w:p>
    <w:p w:rsidR="0018217C" w:rsidRPr="00D03504" w:rsidRDefault="007123BF" w:rsidP="007123BF">
      <w:pPr>
        <w:ind w:firstLineChars="200" w:firstLine="640"/>
        <w:rPr>
          <w:rFonts w:ascii="黑体" w:eastAsia="黑体" w:hAnsi="黑体"/>
          <w:sz w:val="32"/>
          <w:szCs w:val="32"/>
        </w:rPr>
      </w:pPr>
      <w:r w:rsidRPr="00D03504">
        <w:rPr>
          <w:rFonts w:ascii="黑体" w:eastAsia="黑体" w:hAnsi="黑体" w:hint="eastAsia"/>
          <w:sz w:val="32"/>
          <w:szCs w:val="32"/>
        </w:rPr>
        <w:t>一、</w:t>
      </w:r>
      <w:r w:rsidR="0018217C" w:rsidRPr="00D03504">
        <w:rPr>
          <w:rFonts w:ascii="黑体" w:eastAsia="黑体" w:hAnsi="黑体" w:hint="eastAsia"/>
          <w:sz w:val="32"/>
          <w:szCs w:val="32"/>
        </w:rPr>
        <w:t>任务来源，</w:t>
      </w:r>
      <w:r w:rsidR="00313BF5" w:rsidRPr="00D03504">
        <w:rPr>
          <w:rFonts w:ascii="黑体" w:eastAsia="黑体" w:hAnsi="黑体" w:hint="eastAsia"/>
          <w:sz w:val="32"/>
          <w:szCs w:val="32"/>
        </w:rPr>
        <w:t>主要</w:t>
      </w:r>
      <w:r w:rsidR="0018217C" w:rsidRPr="00D03504">
        <w:rPr>
          <w:rFonts w:ascii="黑体" w:eastAsia="黑体" w:hAnsi="黑体" w:hint="eastAsia"/>
          <w:sz w:val="32"/>
          <w:szCs w:val="32"/>
        </w:rPr>
        <w:t>起草单位，</w:t>
      </w:r>
      <w:r w:rsidR="00313BF5" w:rsidRPr="00D03504">
        <w:rPr>
          <w:rFonts w:ascii="黑体" w:eastAsia="黑体" w:hAnsi="黑体" w:hint="eastAsia"/>
          <w:sz w:val="32"/>
          <w:szCs w:val="32"/>
        </w:rPr>
        <w:t>参与起草</w:t>
      </w:r>
      <w:r w:rsidRPr="00D03504">
        <w:rPr>
          <w:rFonts w:ascii="黑体" w:eastAsia="黑体" w:hAnsi="黑体" w:hint="eastAsia"/>
          <w:sz w:val="32"/>
          <w:szCs w:val="32"/>
        </w:rPr>
        <w:t>单位</w:t>
      </w:r>
    </w:p>
    <w:p w:rsidR="007F3AB0" w:rsidRPr="00D03504" w:rsidRDefault="007F3AB0" w:rsidP="007123BF">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中国计算机用户协会下达的2018年团体标准修订编制计划，将《</w:t>
      </w:r>
      <w:r w:rsidR="004D4933" w:rsidRPr="004D4933">
        <w:rPr>
          <w:rFonts w:ascii="仿宋_GB2312" w:eastAsia="仿宋_GB2312" w:hAnsi="仿宋" w:hint="eastAsia"/>
          <w:sz w:val="32"/>
          <w:szCs w:val="32"/>
        </w:rPr>
        <w:t>数据中心绿色</w:t>
      </w:r>
      <w:r w:rsidR="004D4933">
        <w:rPr>
          <w:rFonts w:ascii="仿宋_GB2312" w:eastAsia="仿宋_GB2312" w:hAnsi="仿宋" w:hint="eastAsia"/>
          <w:sz w:val="32"/>
          <w:szCs w:val="32"/>
        </w:rPr>
        <w:t>等级评价</w:t>
      </w:r>
      <w:r w:rsidRPr="00D03504">
        <w:rPr>
          <w:rFonts w:ascii="仿宋_GB2312" w:eastAsia="仿宋_GB2312" w:hAnsi="仿宋" w:hint="eastAsia"/>
          <w:sz w:val="32"/>
          <w:szCs w:val="32"/>
        </w:rPr>
        <w:t>》</w:t>
      </w:r>
      <w:r w:rsidR="004D4933">
        <w:rPr>
          <w:rFonts w:ascii="仿宋_GB2312" w:eastAsia="仿宋_GB2312" w:hAnsi="仿宋" w:hint="eastAsia"/>
          <w:sz w:val="32"/>
          <w:szCs w:val="32"/>
        </w:rPr>
        <w:t>（原名为《</w:t>
      </w:r>
      <w:r w:rsidR="004D4933" w:rsidRPr="004D4933">
        <w:rPr>
          <w:rFonts w:ascii="仿宋_GB2312" w:eastAsia="仿宋_GB2312" w:hAnsi="仿宋" w:hint="eastAsia"/>
          <w:sz w:val="32"/>
          <w:szCs w:val="32"/>
        </w:rPr>
        <w:t>数据中心绿色等级</w:t>
      </w:r>
      <w:r w:rsidR="004D4933">
        <w:rPr>
          <w:rFonts w:ascii="仿宋_GB2312" w:eastAsia="仿宋_GB2312" w:hAnsi="仿宋" w:hint="eastAsia"/>
          <w:sz w:val="32"/>
          <w:szCs w:val="32"/>
        </w:rPr>
        <w:t>评定标准》）</w:t>
      </w:r>
      <w:r w:rsidRPr="00D03504">
        <w:rPr>
          <w:rFonts w:ascii="仿宋_GB2312" w:eastAsia="仿宋_GB2312" w:hAnsi="仿宋" w:hint="eastAsia"/>
          <w:sz w:val="32"/>
          <w:szCs w:val="32"/>
        </w:rPr>
        <w:t>列为标准编制项目，该标准计划号为</w:t>
      </w:r>
      <w:r w:rsidR="00626D37" w:rsidRPr="00D03504">
        <w:rPr>
          <w:rFonts w:ascii="仿宋_GB2312" w:eastAsia="仿宋_GB2312" w:hAnsi="仿宋" w:hint="eastAsia"/>
          <w:sz w:val="32"/>
          <w:szCs w:val="32"/>
        </w:rPr>
        <w:t>T/CCUA 00</w:t>
      </w:r>
      <w:r w:rsidR="00435867">
        <w:rPr>
          <w:rFonts w:ascii="仿宋_GB2312" w:eastAsia="仿宋_GB2312" w:hAnsi="仿宋" w:hint="eastAsia"/>
          <w:sz w:val="32"/>
          <w:szCs w:val="32"/>
        </w:rPr>
        <w:t>2</w:t>
      </w:r>
      <w:r w:rsidR="00626D37" w:rsidRPr="00D03504">
        <w:rPr>
          <w:rFonts w:ascii="仿宋_GB2312" w:eastAsia="仿宋_GB2312" w:hAnsi="仿宋" w:hint="eastAsia"/>
          <w:sz w:val="32"/>
          <w:szCs w:val="32"/>
        </w:rPr>
        <w:t>-2018</w:t>
      </w:r>
      <w:r w:rsidRPr="00D03504">
        <w:rPr>
          <w:rFonts w:ascii="仿宋_GB2312" w:eastAsia="仿宋_GB2312" w:hAnsi="仿宋" w:hint="eastAsia"/>
          <w:sz w:val="32"/>
          <w:szCs w:val="32"/>
        </w:rPr>
        <w:t>，</w:t>
      </w:r>
      <w:r w:rsidR="007123BF" w:rsidRPr="00D03504">
        <w:rPr>
          <w:rFonts w:ascii="仿宋_GB2312" w:eastAsia="仿宋_GB2312" w:hAnsi="仿宋" w:hint="eastAsia"/>
          <w:sz w:val="32"/>
          <w:szCs w:val="32"/>
        </w:rPr>
        <w:t>责任</w:t>
      </w:r>
      <w:r w:rsidRPr="00D03504">
        <w:rPr>
          <w:rFonts w:ascii="仿宋_GB2312" w:eastAsia="仿宋_GB2312" w:hAnsi="仿宋" w:hint="eastAsia"/>
          <w:sz w:val="32"/>
          <w:szCs w:val="32"/>
        </w:rPr>
        <w:t>单位为中国计算机用户协会数据中心分会。</w:t>
      </w:r>
    </w:p>
    <w:p w:rsidR="00626D37" w:rsidRPr="00D03504" w:rsidRDefault="00626D37" w:rsidP="007123BF">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本标准的</w:t>
      </w:r>
      <w:r w:rsidR="00313BF5" w:rsidRPr="00D03504">
        <w:rPr>
          <w:rFonts w:ascii="仿宋_GB2312" w:eastAsia="仿宋_GB2312" w:hAnsi="仿宋" w:hint="eastAsia"/>
          <w:sz w:val="32"/>
          <w:szCs w:val="32"/>
        </w:rPr>
        <w:t>主要</w:t>
      </w:r>
      <w:r w:rsidR="007123BF" w:rsidRPr="00D03504">
        <w:rPr>
          <w:rFonts w:ascii="仿宋_GB2312" w:eastAsia="仿宋_GB2312" w:hAnsi="仿宋" w:hint="eastAsia"/>
          <w:sz w:val="32"/>
          <w:szCs w:val="32"/>
        </w:rPr>
        <w:t>起草单位为</w:t>
      </w:r>
      <w:r w:rsidRPr="00D03504">
        <w:rPr>
          <w:rFonts w:ascii="仿宋_GB2312" w:eastAsia="仿宋_GB2312" w:hAnsi="仿宋" w:hint="eastAsia"/>
          <w:sz w:val="32"/>
          <w:szCs w:val="32"/>
        </w:rPr>
        <w:t>中国计算机用户协会数据中心分会、北京国信天元质量测评认证中心。</w:t>
      </w:r>
    </w:p>
    <w:p w:rsidR="00435867" w:rsidRDefault="00313BF5" w:rsidP="007123BF">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参与</w:t>
      </w:r>
      <w:r w:rsidR="007123BF" w:rsidRPr="00D03504">
        <w:rPr>
          <w:rFonts w:ascii="仿宋_GB2312" w:eastAsia="仿宋_GB2312" w:hAnsi="仿宋" w:hint="eastAsia"/>
          <w:sz w:val="32"/>
          <w:szCs w:val="32"/>
        </w:rPr>
        <w:t>起草</w:t>
      </w:r>
      <w:r w:rsidR="00626D37" w:rsidRPr="00D03504">
        <w:rPr>
          <w:rFonts w:ascii="仿宋_GB2312" w:eastAsia="仿宋_GB2312" w:hAnsi="仿宋" w:hint="eastAsia"/>
          <w:sz w:val="32"/>
          <w:szCs w:val="32"/>
        </w:rPr>
        <w:t>单位</w:t>
      </w:r>
      <w:r w:rsidR="007123BF" w:rsidRPr="00D03504">
        <w:rPr>
          <w:rFonts w:ascii="仿宋_GB2312" w:eastAsia="仿宋_GB2312" w:hAnsi="仿宋" w:hint="eastAsia"/>
          <w:sz w:val="32"/>
          <w:szCs w:val="32"/>
        </w:rPr>
        <w:t>有</w:t>
      </w:r>
      <w:r w:rsidR="00626D37" w:rsidRPr="00D03504">
        <w:rPr>
          <w:rFonts w:ascii="仿宋_GB2312" w:eastAsia="仿宋_GB2312" w:hAnsi="仿宋" w:hint="eastAsia"/>
          <w:sz w:val="32"/>
          <w:szCs w:val="32"/>
        </w:rPr>
        <w:t>：</w:t>
      </w:r>
      <w:r w:rsidR="005D3543" w:rsidRPr="005D3543">
        <w:rPr>
          <w:rFonts w:ascii="仿宋_GB2312" w:eastAsia="仿宋_GB2312" w:hAnsi="仿宋" w:hint="eastAsia"/>
          <w:sz w:val="32"/>
          <w:szCs w:val="32"/>
        </w:rPr>
        <w:t>中国电子技术标准化研究院、</w:t>
      </w:r>
      <w:r w:rsidR="00983C13" w:rsidRPr="00435867">
        <w:rPr>
          <w:rFonts w:ascii="仿宋_GB2312" w:eastAsia="仿宋_GB2312" w:hAnsi="仿宋" w:hint="eastAsia"/>
          <w:sz w:val="32"/>
          <w:szCs w:val="32"/>
        </w:rPr>
        <w:t>中国建筑设计院有限公司</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北京电信规划设计院有限公司建筑事业部</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中航规划设计研究院</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江苏省邮电规划设计院</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中通服咨询设计研究院有限公司</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中国石油昌平数据中心</w:t>
      </w:r>
      <w:r w:rsidR="00983C13">
        <w:rPr>
          <w:rFonts w:ascii="仿宋_GB2312" w:eastAsia="仿宋_GB2312" w:hAnsi="仿宋" w:hint="eastAsia"/>
          <w:sz w:val="32"/>
          <w:szCs w:val="32"/>
        </w:rPr>
        <w:t>、</w:t>
      </w:r>
      <w:r w:rsidR="00435867" w:rsidRPr="00435867">
        <w:rPr>
          <w:rFonts w:ascii="仿宋_GB2312" w:eastAsia="仿宋_GB2312" w:hAnsi="仿宋" w:hint="eastAsia"/>
          <w:sz w:val="32"/>
          <w:szCs w:val="32"/>
        </w:rPr>
        <w:t>中信银行总行数据中心</w:t>
      </w:r>
      <w:r w:rsidR="00435867">
        <w:rPr>
          <w:rFonts w:ascii="仿宋_GB2312" w:eastAsia="仿宋_GB2312" w:hAnsi="仿宋" w:hint="eastAsia"/>
          <w:sz w:val="32"/>
          <w:szCs w:val="32"/>
        </w:rPr>
        <w:t>、</w:t>
      </w:r>
      <w:r w:rsidR="00983C13" w:rsidRPr="00435867">
        <w:rPr>
          <w:rFonts w:ascii="仿宋_GB2312" w:eastAsia="仿宋_GB2312" w:hAnsi="仿宋" w:hint="eastAsia"/>
          <w:sz w:val="32"/>
          <w:szCs w:val="32"/>
        </w:rPr>
        <w:t>中国民生银行</w:t>
      </w:r>
      <w:r w:rsidR="00983C13">
        <w:rPr>
          <w:rFonts w:ascii="仿宋_GB2312" w:eastAsia="仿宋_GB2312" w:hAnsi="仿宋" w:hint="eastAsia"/>
          <w:sz w:val="32"/>
          <w:szCs w:val="32"/>
        </w:rPr>
        <w:t>、</w:t>
      </w:r>
      <w:r w:rsidR="00983C13">
        <w:rPr>
          <w:rFonts w:ascii="仿宋_GB2312" w:eastAsia="仿宋_GB2312" w:hAnsi="仿宋" w:hint="eastAsia"/>
          <w:sz w:val="32"/>
          <w:szCs w:val="32"/>
        </w:rPr>
        <w:t>中体彩科技发展有限公司、</w:t>
      </w:r>
      <w:r w:rsidR="00983C13" w:rsidRPr="00435867">
        <w:rPr>
          <w:rFonts w:ascii="仿宋_GB2312" w:eastAsia="仿宋_GB2312" w:hAnsi="仿宋" w:hint="eastAsia"/>
          <w:sz w:val="32"/>
          <w:szCs w:val="32"/>
        </w:rPr>
        <w:t>江苏银行</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中国机房设施工程有限公司</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北京科计通电子工程有限公司</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捷通智慧科技股份有限公司</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浩德科技股份有限公司</w:t>
      </w:r>
      <w:r w:rsidR="00983C13">
        <w:rPr>
          <w:rFonts w:ascii="仿宋_GB2312" w:eastAsia="仿宋_GB2312" w:hAnsi="仿宋" w:hint="eastAsia"/>
          <w:sz w:val="32"/>
          <w:szCs w:val="32"/>
        </w:rPr>
        <w:t>、</w:t>
      </w:r>
      <w:r w:rsidR="00983C13" w:rsidRPr="00435867">
        <w:rPr>
          <w:rFonts w:ascii="仿宋_GB2312" w:eastAsia="仿宋_GB2312" w:hAnsi="仿宋" w:hint="eastAsia"/>
          <w:sz w:val="32"/>
          <w:szCs w:val="32"/>
        </w:rPr>
        <w:t>青岛恒华机房设备工程有限公司</w:t>
      </w:r>
      <w:r w:rsidR="00435867">
        <w:rPr>
          <w:rFonts w:ascii="仿宋_GB2312" w:eastAsia="仿宋_GB2312" w:hAnsi="仿宋" w:hint="eastAsia"/>
          <w:sz w:val="32"/>
          <w:szCs w:val="32"/>
        </w:rPr>
        <w:t>、</w:t>
      </w:r>
      <w:r w:rsidR="00435867" w:rsidRPr="00435867">
        <w:rPr>
          <w:rFonts w:ascii="仿宋_GB2312" w:eastAsia="仿宋_GB2312" w:hAnsi="仿宋" w:hint="eastAsia"/>
          <w:sz w:val="32"/>
          <w:szCs w:val="32"/>
        </w:rPr>
        <w:t>北京泰豪智能工程有限公司</w:t>
      </w:r>
      <w:r w:rsidR="00435867">
        <w:rPr>
          <w:rFonts w:ascii="仿宋_GB2312" w:eastAsia="仿宋_GB2312" w:hAnsi="仿宋" w:hint="eastAsia"/>
          <w:sz w:val="32"/>
          <w:szCs w:val="32"/>
        </w:rPr>
        <w:t>、</w:t>
      </w:r>
      <w:r w:rsidR="00435867" w:rsidRPr="00435867">
        <w:rPr>
          <w:rFonts w:ascii="仿宋_GB2312" w:eastAsia="仿宋_GB2312" w:hAnsi="仿宋" w:hint="eastAsia"/>
          <w:sz w:val="32"/>
          <w:szCs w:val="32"/>
        </w:rPr>
        <w:t>同方股份有限公司</w:t>
      </w:r>
      <w:r w:rsidR="00435867">
        <w:rPr>
          <w:rFonts w:ascii="仿宋_GB2312" w:eastAsia="仿宋_GB2312" w:hAnsi="仿宋" w:hint="eastAsia"/>
          <w:sz w:val="32"/>
          <w:szCs w:val="32"/>
        </w:rPr>
        <w:t>、</w:t>
      </w:r>
      <w:r w:rsidR="00435867" w:rsidRPr="00435867">
        <w:rPr>
          <w:rFonts w:ascii="仿宋_GB2312" w:eastAsia="仿宋_GB2312" w:hAnsi="仿宋" w:hint="eastAsia"/>
          <w:sz w:val="32"/>
          <w:szCs w:val="32"/>
        </w:rPr>
        <w:t>上海蓝色帛缔智能工程有限公司</w:t>
      </w:r>
      <w:r w:rsidR="00435867">
        <w:rPr>
          <w:rFonts w:ascii="仿宋_GB2312" w:eastAsia="仿宋_GB2312" w:hAnsi="仿宋" w:hint="eastAsia"/>
          <w:sz w:val="32"/>
          <w:szCs w:val="32"/>
        </w:rPr>
        <w:t>、</w:t>
      </w:r>
      <w:r w:rsidR="00435867" w:rsidRPr="00435867">
        <w:rPr>
          <w:rFonts w:ascii="仿宋_GB2312" w:eastAsia="仿宋_GB2312" w:hAnsi="仿宋" w:hint="eastAsia"/>
          <w:sz w:val="32"/>
          <w:szCs w:val="32"/>
        </w:rPr>
        <w:t>依米康科技集团</w:t>
      </w:r>
      <w:r w:rsidR="00435867">
        <w:rPr>
          <w:rFonts w:ascii="仿宋_GB2312" w:eastAsia="仿宋_GB2312" w:hAnsi="仿宋" w:hint="eastAsia"/>
          <w:sz w:val="32"/>
          <w:szCs w:val="32"/>
        </w:rPr>
        <w:t>、</w:t>
      </w:r>
      <w:r w:rsidR="00435867" w:rsidRPr="00435867">
        <w:rPr>
          <w:rFonts w:ascii="仿宋_GB2312" w:eastAsia="仿宋_GB2312" w:hAnsi="仿宋" w:hint="eastAsia"/>
          <w:sz w:val="32"/>
          <w:szCs w:val="32"/>
        </w:rPr>
        <w:t>方正国际软件（北京）有限公司</w:t>
      </w:r>
      <w:r w:rsidR="00435867">
        <w:rPr>
          <w:rFonts w:ascii="仿宋_GB2312" w:eastAsia="仿宋_GB2312" w:hAnsi="仿宋" w:hint="eastAsia"/>
          <w:sz w:val="32"/>
          <w:szCs w:val="32"/>
        </w:rPr>
        <w:t>、</w:t>
      </w:r>
      <w:r w:rsidR="00435867" w:rsidRPr="00435867">
        <w:rPr>
          <w:rFonts w:ascii="仿宋_GB2312" w:eastAsia="仿宋_GB2312" w:hAnsi="仿宋" w:hint="eastAsia"/>
          <w:sz w:val="32"/>
          <w:szCs w:val="32"/>
        </w:rPr>
        <w:t>浪潮电子信息产业股份有限公司</w:t>
      </w:r>
      <w:r w:rsidR="00983C13">
        <w:rPr>
          <w:rFonts w:ascii="仿宋_GB2312" w:eastAsia="仿宋_GB2312" w:hAnsi="仿宋" w:hint="eastAsia"/>
          <w:sz w:val="32"/>
          <w:szCs w:val="32"/>
        </w:rPr>
        <w:t>。</w:t>
      </w:r>
      <w:bookmarkStart w:id="0" w:name="_GoBack"/>
      <w:bookmarkEnd w:id="0"/>
    </w:p>
    <w:p w:rsidR="0018217C" w:rsidRPr="00D03504" w:rsidRDefault="007123BF" w:rsidP="007123BF">
      <w:pPr>
        <w:ind w:firstLineChars="200" w:firstLine="640"/>
        <w:rPr>
          <w:rFonts w:ascii="仿宋_GB2312" w:eastAsia="仿宋_GB2312" w:hAnsi="黑体"/>
          <w:sz w:val="32"/>
          <w:szCs w:val="32"/>
        </w:rPr>
      </w:pPr>
      <w:r w:rsidRPr="00D03504">
        <w:rPr>
          <w:rFonts w:ascii="黑体" w:eastAsia="黑体" w:hAnsi="黑体" w:hint="eastAsia"/>
          <w:sz w:val="32"/>
          <w:szCs w:val="32"/>
        </w:rPr>
        <w:lastRenderedPageBreak/>
        <w:t>二、制定标准的必要性和意义</w:t>
      </w:r>
    </w:p>
    <w:p w:rsidR="00CE2575" w:rsidRPr="00CE2575" w:rsidRDefault="00CE2575" w:rsidP="00CE2575">
      <w:pPr>
        <w:ind w:firstLineChars="200" w:firstLine="640"/>
        <w:rPr>
          <w:rFonts w:ascii="仿宋_GB2312" w:eastAsia="仿宋_GB2312" w:hAnsi="仿宋"/>
          <w:sz w:val="32"/>
          <w:szCs w:val="32"/>
        </w:rPr>
      </w:pPr>
      <w:r w:rsidRPr="00CE2575">
        <w:rPr>
          <w:rFonts w:ascii="仿宋_GB2312" w:eastAsia="仿宋_GB2312" w:hAnsi="仿宋" w:hint="eastAsia"/>
          <w:sz w:val="32"/>
          <w:szCs w:val="32"/>
        </w:rPr>
        <w:t>为贯彻落实我国节约资源、保护环境的国家政策方针，更好地实施绿色建筑发展战略，通过科学、合理评价数据中心建筑的建设改造的合理设计、健康运行，引导数据中心建筑健康可持续发展，特编制本标准。</w:t>
      </w:r>
    </w:p>
    <w:p w:rsidR="00CE2575" w:rsidRPr="00CE2575" w:rsidRDefault="00CE2575" w:rsidP="00CE2575">
      <w:pPr>
        <w:ind w:firstLineChars="200" w:firstLine="640"/>
        <w:rPr>
          <w:rFonts w:ascii="仿宋_GB2312" w:eastAsia="仿宋_GB2312" w:hAnsi="仿宋"/>
          <w:sz w:val="32"/>
          <w:szCs w:val="32"/>
        </w:rPr>
      </w:pPr>
      <w:r w:rsidRPr="00CE2575">
        <w:rPr>
          <w:rFonts w:ascii="仿宋_GB2312" w:eastAsia="仿宋_GB2312" w:hAnsi="仿宋" w:hint="eastAsia"/>
          <w:sz w:val="32"/>
          <w:szCs w:val="32"/>
        </w:rPr>
        <w:t>随着国内外互联网、通信行业的迅猛发展，数据的处理、交换以及存储量也随之增长，数据中心的建设量和建设规模也不断扩大，数据中心的土地、电、水、材料等资源消耗量及其在社会整体消耗量中所占比例也逐年攀升，同时，数据中心在资源利用过程中也存在如空置率高、能源利用效率低下等诸多问题。</w:t>
      </w:r>
    </w:p>
    <w:p w:rsidR="00CE2575" w:rsidRDefault="00CE2575" w:rsidP="00CE2575">
      <w:pPr>
        <w:ind w:firstLineChars="200" w:firstLine="640"/>
        <w:rPr>
          <w:rFonts w:ascii="仿宋_GB2312" w:eastAsia="仿宋_GB2312" w:hAnsi="仿宋"/>
          <w:sz w:val="32"/>
          <w:szCs w:val="32"/>
        </w:rPr>
      </w:pPr>
      <w:r w:rsidRPr="00CE2575">
        <w:rPr>
          <w:rFonts w:ascii="仿宋_GB2312" w:eastAsia="仿宋_GB2312" w:hAnsi="仿宋"/>
          <w:sz w:val="32"/>
          <w:szCs w:val="32"/>
        </w:rPr>
        <w:t>2012年工信部发布的《工业节能</w:t>
      </w:r>
      <w:r w:rsidRPr="00CE2575">
        <w:rPr>
          <w:rFonts w:ascii="仿宋_GB2312" w:eastAsia="仿宋_GB2312" w:hAnsi="仿宋"/>
          <w:sz w:val="32"/>
          <w:szCs w:val="32"/>
        </w:rPr>
        <w:t>“</w:t>
      </w:r>
      <w:r w:rsidRPr="00CE2575">
        <w:rPr>
          <w:rFonts w:ascii="仿宋_GB2312" w:eastAsia="仿宋_GB2312" w:hAnsi="仿宋"/>
          <w:sz w:val="32"/>
          <w:szCs w:val="32"/>
        </w:rPr>
        <w:t>十二五</w:t>
      </w:r>
      <w:r w:rsidRPr="00CE2575">
        <w:rPr>
          <w:rFonts w:ascii="仿宋_GB2312" w:eastAsia="仿宋_GB2312" w:hAnsi="仿宋"/>
          <w:sz w:val="32"/>
          <w:szCs w:val="32"/>
        </w:rPr>
        <w:t>”</w:t>
      </w:r>
      <w:r w:rsidRPr="00CE2575">
        <w:rPr>
          <w:rFonts w:ascii="仿宋_GB2312" w:eastAsia="仿宋_GB2312" w:hAnsi="仿宋"/>
          <w:sz w:val="32"/>
          <w:szCs w:val="32"/>
        </w:rPr>
        <w:t>规划》针对数据中心提出了明确的节能目标：</w:t>
      </w:r>
      <w:r w:rsidRPr="00CE2575">
        <w:rPr>
          <w:rFonts w:ascii="仿宋_GB2312" w:eastAsia="仿宋_GB2312" w:hAnsi="仿宋"/>
          <w:sz w:val="32"/>
          <w:szCs w:val="32"/>
        </w:rPr>
        <w:t>“</w:t>
      </w:r>
      <w:r w:rsidRPr="00CE2575">
        <w:rPr>
          <w:rFonts w:ascii="仿宋_GB2312" w:eastAsia="仿宋_GB2312" w:hAnsi="仿宋"/>
          <w:sz w:val="32"/>
          <w:szCs w:val="32"/>
        </w:rPr>
        <w:t>到2015年，数据中心PUE值下降8%。</w:t>
      </w:r>
      <w:r w:rsidRPr="00CE2575">
        <w:rPr>
          <w:rFonts w:ascii="仿宋_GB2312" w:eastAsia="仿宋_GB2312" w:hAnsi="仿宋"/>
          <w:sz w:val="32"/>
          <w:szCs w:val="32"/>
        </w:rPr>
        <w:t>”</w:t>
      </w:r>
      <w:r w:rsidRPr="00CE2575">
        <w:rPr>
          <w:rFonts w:ascii="仿宋_GB2312" w:eastAsia="仿宋_GB2312" w:hAnsi="仿宋"/>
          <w:sz w:val="32"/>
          <w:szCs w:val="32"/>
        </w:rPr>
        <w:t>2014年7月北京市人民政府办公厅发布《北京市新增产业的禁止和限制目录（2014年版）》，其中由市经信委制定的关于信息传输软件和信息技术服务业门类下明确规定：禁止新建和扩建数据中心，PUE值在1.5以下的云计算数据中心除外。2015年国家事务机关管理局节能司与工业和信息化部节能与综合利用司陆续组织了《关于印发国家绿色数据中心试点工作方针的通知》，组织发起绿色数据中心先进适用技术推荐工</w:t>
      </w:r>
      <w:r w:rsidRPr="00CE2575">
        <w:rPr>
          <w:rFonts w:ascii="仿宋_GB2312" w:eastAsia="仿宋_GB2312" w:hAnsi="仿宋" w:hint="eastAsia"/>
          <w:sz w:val="32"/>
          <w:szCs w:val="32"/>
        </w:rPr>
        <w:t>作，吸引了数据中心广大用户、产品厂商和解决方法供应商的积极参与。</w:t>
      </w:r>
      <w:r w:rsidR="005D3349">
        <w:rPr>
          <w:rFonts w:ascii="仿宋_GB2312" w:eastAsia="仿宋_GB2312" w:hAnsi="仿宋" w:hint="eastAsia"/>
          <w:sz w:val="32"/>
          <w:szCs w:val="32"/>
        </w:rPr>
        <w:t>2</w:t>
      </w:r>
      <w:r w:rsidR="005D3349">
        <w:rPr>
          <w:rFonts w:ascii="仿宋_GB2312" w:eastAsia="仿宋_GB2312" w:hAnsi="仿宋"/>
          <w:sz w:val="32"/>
          <w:szCs w:val="32"/>
        </w:rPr>
        <w:t>019</w:t>
      </w:r>
      <w:r w:rsidR="005D3349">
        <w:rPr>
          <w:rFonts w:ascii="仿宋_GB2312" w:eastAsia="仿宋_GB2312" w:hAnsi="仿宋" w:hint="eastAsia"/>
          <w:sz w:val="32"/>
          <w:szCs w:val="32"/>
        </w:rPr>
        <w:t>年，</w:t>
      </w:r>
      <w:r w:rsidR="00C95D9D" w:rsidRPr="00C95D9D">
        <w:rPr>
          <w:rFonts w:ascii="仿宋_GB2312" w:eastAsia="仿宋_GB2312" w:hAnsi="仿宋" w:hint="eastAsia"/>
          <w:sz w:val="32"/>
          <w:szCs w:val="32"/>
        </w:rPr>
        <w:t>工业和信</w:t>
      </w:r>
      <w:r w:rsidR="00C95D9D" w:rsidRPr="00C95D9D">
        <w:rPr>
          <w:rFonts w:ascii="仿宋_GB2312" w:eastAsia="仿宋_GB2312" w:hAnsi="仿宋" w:hint="eastAsia"/>
          <w:sz w:val="32"/>
          <w:szCs w:val="32"/>
        </w:rPr>
        <w:lastRenderedPageBreak/>
        <w:t>息化部、国家机关事务管理局、国家能源局联合印发的《关于加强绿色数据中心建设的指导意见》</w:t>
      </w:r>
      <w:r w:rsidR="00C95D9D">
        <w:rPr>
          <w:rFonts w:ascii="仿宋_GB2312" w:eastAsia="仿宋_GB2312" w:hAnsi="仿宋" w:hint="eastAsia"/>
          <w:sz w:val="32"/>
          <w:szCs w:val="32"/>
        </w:rPr>
        <w:t>，</w:t>
      </w:r>
      <w:r w:rsidR="005D3349">
        <w:rPr>
          <w:rFonts w:ascii="仿宋_GB2312" w:eastAsia="仿宋_GB2312" w:hAnsi="仿宋" w:hint="eastAsia"/>
          <w:sz w:val="32"/>
          <w:szCs w:val="32"/>
        </w:rPr>
        <w:t>要求</w:t>
      </w:r>
      <w:r w:rsidR="005D3349" w:rsidRPr="005D3349">
        <w:rPr>
          <w:rFonts w:ascii="仿宋_GB2312" w:eastAsia="仿宋_GB2312" w:hAnsi="仿宋" w:hint="eastAsia"/>
          <w:sz w:val="32"/>
          <w:szCs w:val="32"/>
        </w:rPr>
        <w:t>建立健全绿色数据中心标准评价体系和能源资源监管体系，打造一批绿色数据中心先进典型，形成一批具有创新性的绿色技术产品、解决方案，培育一批专业第三方绿色服务机构。到</w:t>
      </w:r>
      <w:r w:rsidR="005D3349" w:rsidRPr="005D3349">
        <w:rPr>
          <w:rFonts w:ascii="仿宋_GB2312" w:eastAsia="仿宋_GB2312" w:hAnsi="仿宋"/>
          <w:sz w:val="32"/>
          <w:szCs w:val="32"/>
        </w:rPr>
        <w:t>2022年，数据中心平均能耗基本达到国际先进水平，新建大型、超大型数据中心的电能使用效率值达到1.4以下，高能耗老旧设备基本淘汰，水资源利用效率和清洁能源应用比例大幅提升，废旧电器电子产品得到有效回收利用。</w:t>
      </w:r>
    </w:p>
    <w:p w:rsidR="004D4933" w:rsidRPr="004D4933" w:rsidRDefault="004D4933" w:rsidP="00CE2575">
      <w:pPr>
        <w:ind w:firstLineChars="200" w:firstLine="640"/>
        <w:rPr>
          <w:rFonts w:ascii="仿宋_GB2312" w:eastAsia="仿宋_GB2312" w:hAnsi="仿宋"/>
          <w:sz w:val="32"/>
          <w:szCs w:val="32"/>
        </w:rPr>
      </w:pPr>
      <w:r w:rsidRPr="004D4933">
        <w:rPr>
          <w:rFonts w:ascii="仿宋_GB2312" w:eastAsia="仿宋_GB2312" w:hAnsi="仿宋" w:hint="eastAsia"/>
          <w:sz w:val="32"/>
          <w:szCs w:val="32"/>
        </w:rPr>
        <w:t>通过本标准的宣贯和落实，能够贯彻国家技术经济政策，节约资源，保护环境，推进可持续发展，规范绿色数据中心建筑的评价。</w:t>
      </w:r>
    </w:p>
    <w:p w:rsidR="0018217C" w:rsidRPr="00D03504" w:rsidRDefault="007123BF" w:rsidP="00CE2575">
      <w:pPr>
        <w:ind w:firstLineChars="200" w:firstLine="640"/>
        <w:rPr>
          <w:rFonts w:ascii="黑体" w:eastAsia="黑体" w:hAnsi="黑体"/>
          <w:sz w:val="32"/>
          <w:szCs w:val="32"/>
        </w:rPr>
      </w:pPr>
      <w:r w:rsidRPr="00D03504">
        <w:rPr>
          <w:rFonts w:ascii="黑体" w:eastAsia="黑体" w:hAnsi="黑体" w:hint="eastAsia"/>
          <w:sz w:val="32"/>
          <w:szCs w:val="32"/>
        </w:rPr>
        <w:t>三、主要工作过程</w:t>
      </w:r>
    </w:p>
    <w:p w:rsidR="00CE2575" w:rsidRDefault="00313BF5" w:rsidP="007123BF">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2018年</w:t>
      </w:r>
      <w:r w:rsidR="00CE2575">
        <w:rPr>
          <w:rFonts w:ascii="仿宋_GB2312" w:eastAsia="仿宋_GB2312" w:hAnsi="仿宋"/>
          <w:sz w:val="32"/>
          <w:szCs w:val="32"/>
        </w:rPr>
        <w:t>8</w:t>
      </w:r>
      <w:r w:rsidRPr="00D03504">
        <w:rPr>
          <w:rFonts w:ascii="仿宋_GB2312" w:eastAsia="仿宋_GB2312" w:hAnsi="仿宋" w:hint="eastAsia"/>
          <w:sz w:val="32"/>
          <w:szCs w:val="32"/>
        </w:rPr>
        <w:t>月</w:t>
      </w:r>
      <w:r w:rsidR="00CE2575">
        <w:rPr>
          <w:rFonts w:ascii="仿宋_GB2312" w:eastAsia="仿宋_GB2312" w:hAnsi="仿宋" w:hint="eastAsia"/>
          <w:sz w:val="32"/>
          <w:szCs w:val="32"/>
        </w:rPr>
        <w:t>至2019年8月</w:t>
      </w:r>
      <w:r w:rsidRPr="00D03504">
        <w:rPr>
          <w:rFonts w:ascii="仿宋_GB2312" w:eastAsia="仿宋_GB2312" w:hAnsi="仿宋" w:hint="eastAsia"/>
          <w:sz w:val="32"/>
          <w:szCs w:val="32"/>
        </w:rPr>
        <w:t>，</w:t>
      </w:r>
      <w:r w:rsidR="00CE2575">
        <w:rPr>
          <w:rFonts w:ascii="仿宋_GB2312" w:eastAsia="仿宋_GB2312" w:hAnsi="仿宋" w:hint="eastAsia"/>
          <w:sz w:val="32"/>
          <w:szCs w:val="32"/>
        </w:rPr>
        <w:t>由</w:t>
      </w:r>
      <w:r w:rsidR="00AF3B25" w:rsidRPr="00D03504">
        <w:rPr>
          <w:rFonts w:ascii="仿宋_GB2312" w:eastAsia="仿宋_GB2312" w:hAnsi="仿宋" w:hint="eastAsia"/>
          <w:sz w:val="32"/>
          <w:szCs w:val="32"/>
        </w:rPr>
        <w:t>标准主要起草单位发起</w:t>
      </w:r>
      <w:r w:rsidR="00CE2575">
        <w:rPr>
          <w:rFonts w:ascii="仿宋_GB2312" w:eastAsia="仿宋_GB2312" w:hAnsi="仿宋" w:hint="eastAsia"/>
          <w:sz w:val="32"/>
          <w:szCs w:val="32"/>
        </w:rPr>
        <w:t>本标准</w:t>
      </w:r>
      <w:r w:rsidR="004D4933">
        <w:rPr>
          <w:rFonts w:ascii="仿宋_GB2312" w:eastAsia="仿宋_GB2312" w:hAnsi="仿宋" w:hint="eastAsia"/>
          <w:sz w:val="32"/>
          <w:szCs w:val="32"/>
        </w:rPr>
        <w:t>草案</w:t>
      </w:r>
      <w:r w:rsidR="00CE2575">
        <w:rPr>
          <w:rFonts w:ascii="仿宋_GB2312" w:eastAsia="仿宋_GB2312" w:hAnsi="仿宋" w:hint="eastAsia"/>
          <w:sz w:val="32"/>
          <w:szCs w:val="32"/>
        </w:rPr>
        <w:t>稿的编制</w:t>
      </w:r>
      <w:r w:rsidR="000F6944">
        <w:rPr>
          <w:rFonts w:ascii="仿宋_GB2312" w:eastAsia="仿宋_GB2312" w:hAnsi="仿宋" w:hint="eastAsia"/>
          <w:sz w:val="32"/>
          <w:szCs w:val="32"/>
        </w:rPr>
        <w:t>工作</w:t>
      </w:r>
      <w:r w:rsidR="00CE2575">
        <w:rPr>
          <w:rFonts w:ascii="仿宋_GB2312" w:eastAsia="仿宋_GB2312" w:hAnsi="仿宋" w:hint="eastAsia"/>
          <w:sz w:val="32"/>
          <w:szCs w:val="32"/>
        </w:rPr>
        <w:t>。</w:t>
      </w:r>
    </w:p>
    <w:p w:rsidR="00AF3B25" w:rsidRPr="00D03504" w:rsidRDefault="00313BF5" w:rsidP="007123BF">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201</w:t>
      </w:r>
      <w:r w:rsidR="00CE2575">
        <w:rPr>
          <w:rFonts w:ascii="仿宋_GB2312" w:eastAsia="仿宋_GB2312" w:hAnsi="仿宋"/>
          <w:sz w:val="32"/>
          <w:szCs w:val="32"/>
        </w:rPr>
        <w:t>9</w:t>
      </w:r>
      <w:r w:rsidRPr="00D03504">
        <w:rPr>
          <w:rFonts w:ascii="仿宋_GB2312" w:eastAsia="仿宋_GB2312" w:hAnsi="仿宋" w:hint="eastAsia"/>
          <w:sz w:val="32"/>
          <w:szCs w:val="32"/>
        </w:rPr>
        <w:t>年</w:t>
      </w:r>
      <w:r w:rsidR="000F6944">
        <w:rPr>
          <w:rFonts w:ascii="仿宋_GB2312" w:eastAsia="仿宋_GB2312" w:hAnsi="仿宋" w:hint="eastAsia"/>
          <w:sz w:val="32"/>
          <w:szCs w:val="32"/>
        </w:rPr>
        <w:t>10</w:t>
      </w:r>
      <w:r w:rsidRPr="00D03504">
        <w:rPr>
          <w:rFonts w:ascii="仿宋_GB2312" w:eastAsia="仿宋_GB2312" w:hAnsi="仿宋" w:hint="eastAsia"/>
          <w:sz w:val="32"/>
          <w:szCs w:val="32"/>
        </w:rPr>
        <w:t>月，</w:t>
      </w:r>
      <w:r w:rsidR="00AF3B25" w:rsidRPr="00D03504">
        <w:rPr>
          <w:rFonts w:ascii="仿宋_GB2312" w:eastAsia="仿宋_GB2312" w:hAnsi="仿宋" w:hint="eastAsia"/>
          <w:sz w:val="32"/>
          <w:szCs w:val="32"/>
        </w:rPr>
        <w:t>数据中心分会专家参与讨论</w:t>
      </w:r>
      <w:r w:rsidR="000F6944">
        <w:rPr>
          <w:rFonts w:ascii="仿宋_GB2312" w:eastAsia="仿宋_GB2312" w:hAnsi="仿宋" w:hint="eastAsia"/>
          <w:sz w:val="32"/>
          <w:szCs w:val="32"/>
        </w:rPr>
        <w:t>本</w:t>
      </w:r>
      <w:r w:rsidR="00AF3B25" w:rsidRPr="00D03504">
        <w:rPr>
          <w:rFonts w:ascii="仿宋_GB2312" w:eastAsia="仿宋_GB2312" w:hAnsi="仿宋" w:hint="eastAsia"/>
          <w:sz w:val="32"/>
          <w:szCs w:val="32"/>
        </w:rPr>
        <w:t>标准</w:t>
      </w:r>
      <w:r w:rsidR="000F6944">
        <w:rPr>
          <w:rFonts w:ascii="仿宋_GB2312" w:eastAsia="仿宋_GB2312" w:hAnsi="仿宋" w:hint="eastAsia"/>
          <w:sz w:val="32"/>
          <w:szCs w:val="32"/>
        </w:rPr>
        <w:t>草案稿</w:t>
      </w:r>
      <w:r w:rsidR="00AF3B25" w:rsidRPr="00D03504">
        <w:rPr>
          <w:rFonts w:ascii="仿宋_GB2312" w:eastAsia="仿宋_GB2312" w:hAnsi="仿宋" w:hint="eastAsia"/>
          <w:sz w:val="32"/>
          <w:szCs w:val="32"/>
        </w:rPr>
        <w:t>，并提出修订意见。</w:t>
      </w:r>
    </w:p>
    <w:p w:rsidR="00313BF5" w:rsidRPr="00D03504" w:rsidRDefault="00AF3B25" w:rsidP="000F6944">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201</w:t>
      </w:r>
      <w:r w:rsidR="000F6944">
        <w:rPr>
          <w:rFonts w:ascii="仿宋_GB2312" w:eastAsia="仿宋_GB2312" w:hAnsi="仿宋" w:hint="eastAsia"/>
          <w:sz w:val="32"/>
          <w:szCs w:val="32"/>
        </w:rPr>
        <w:t>9</w:t>
      </w:r>
      <w:r w:rsidRPr="00D03504">
        <w:rPr>
          <w:rFonts w:ascii="仿宋_GB2312" w:eastAsia="仿宋_GB2312" w:hAnsi="仿宋" w:hint="eastAsia"/>
          <w:sz w:val="32"/>
          <w:szCs w:val="32"/>
        </w:rPr>
        <w:t>年</w:t>
      </w:r>
      <w:r w:rsidR="000F6944">
        <w:rPr>
          <w:rFonts w:ascii="仿宋_GB2312" w:eastAsia="仿宋_GB2312" w:hAnsi="仿宋" w:hint="eastAsia"/>
          <w:sz w:val="32"/>
          <w:szCs w:val="32"/>
        </w:rPr>
        <w:t>11</w:t>
      </w:r>
      <w:r w:rsidRPr="00D03504">
        <w:rPr>
          <w:rFonts w:ascii="仿宋_GB2312" w:eastAsia="仿宋_GB2312" w:hAnsi="仿宋" w:hint="eastAsia"/>
          <w:sz w:val="32"/>
          <w:szCs w:val="32"/>
        </w:rPr>
        <w:t>月至1</w:t>
      </w:r>
      <w:r w:rsidR="000F6944">
        <w:rPr>
          <w:rFonts w:ascii="仿宋_GB2312" w:eastAsia="仿宋_GB2312" w:hAnsi="仿宋" w:hint="eastAsia"/>
          <w:sz w:val="32"/>
          <w:szCs w:val="32"/>
        </w:rPr>
        <w:t>2</w:t>
      </w:r>
      <w:r w:rsidRPr="00D03504">
        <w:rPr>
          <w:rFonts w:ascii="仿宋_GB2312" w:eastAsia="仿宋_GB2312" w:hAnsi="仿宋" w:hint="eastAsia"/>
          <w:sz w:val="32"/>
          <w:szCs w:val="32"/>
        </w:rPr>
        <w:t>月，标准起草单位针对专家提出修订意见，修订标准</w:t>
      </w:r>
      <w:r w:rsidR="000F6944">
        <w:rPr>
          <w:rFonts w:ascii="仿宋_GB2312" w:eastAsia="仿宋_GB2312" w:hAnsi="仿宋" w:hint="eastAsia"/>
          <w:sz w:val="32"/>
          <w:szCs w:val="32"/>
        </w:rPr>
        <w:t>草案稿</w:t>
      </w:r>
      <w:r w:rsidR="004D4933">
        <w:rPr>
          <w:rFonts w:ascii="仿宋_GB2312" w:eastAsia="仿宋_GB2312" w:hAnsi="仿宋" w:hint="eastAsia"/>
          <w:sz w:val="32"/>
          <w:szCs w:val="32"/>
        </w:rPr>
        <w:t>，形成征求意见稿</w:t>
      </w:r>
      <w:r w:rsidRPr="00D03504">
        <w:rPr>
          <w:rFonts w:ascii="仿宋_GB2312" w:eastAsia="仿宋_GB2312" w:hAnsi="仿宋" w:hint="eastAsia"/>
          <w:sz w:val="32"/>
          <w:szCs w:val="32"/>
        </w:rPr>
        <w:t>。</w:t>
      </w:r>
    </w:p>
    <w:p w:rsidR="0018217C" w:rsidRPr="00D03504" w:rsidRDefault="0018217C" w:rsidP="007123BF">
      <w:pPr>
        <w:ind w:firstLineChars="200" w:firstLine="640"/>
        <w:rPr>
          <w:rFonts w:ascii="黑体" w:eastAsia="黑体" w:hAnsi="黑体"/>
          <w:sz w:val="32"/>
          <w:szCs w:val="32"/>
        </w:rPr>
      </w:pPr>
      <w:r w:rsidRPr="00D03504">
        <w:rPr>
          <w:rFonts w:ascii="黑体" w:eastAsia="黑体" w:hAnsi="黑体" w:hint="eastAsia"/>
          <w:sz w:val="32"/>
          <w:szCs w:val="32"/>
        </w:rPr>
        <w:t>四、制定标准的原则和依据，与现行法律、法规、标准的关</w:t>
      </w:r>
      <w:r w:rsidR="007123BF" w:rsidRPr="00D03504">
        <w:rPr>
          <w:rFonts w:ascii="黑体" w:eastAsia="黑体" w:hAnsi="黑体" w:hint="eastAsia"/>
          <w:sz w:val="32"/>
          <w:szCs w:val="32"/>
        </w:rPr>
        <w:t>系</w:t>
      </w:r>
    </w:p>
    <w:p w:rsidR="000F6944" w:rsidRPr="00D03504" w:rsidRDefault="000F6944" w:rsidP="000F6944">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本标准的用语、格式按照GB/T1.1-2009给出的规则起</w:t>
      </w:r>
      <w:r w:rsidRPr="00D03504">
        <w:rPr>
          <w:rFonts w:ascii="仿宋_GB2312" w:eastAsia="仿宋_GB2312" w:hAnsi="仿宋" w:hint="eastAsia"/>
          <w:sz w:val="32"/>
          <w:szCs w:val="32"/>
        </w:rPr>
        <w:lastRenderedPageBreak/>
        <w:t>草。标准内容的编制坚持以下原则：</w:t>
      </w:r>
    </w:p>
    <w:p w:rsidR="000F6944" w:rsidRDefault="000F6944" w:rsidP="000F6944">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Pr="000F6944">
        <w:rPr>
          <w:rFonts w:ascii="仿宋_GB2312" w:eastAsia="仿宋_GB2312" w:hAnsi="仿宋" w:hint="eastAsia"/>
          <w:sz w:val="32"/>
          <w:szCs w:val="32"/>
        </w:rPr>
        <w:t>符合国家基本方针和数据中心产业政策。可有效综合数据中心不同行业、不同地域、不同层面的绿色和节能要求，实现综合评价和相互比较的可操作。</w:t>
      </w:r>
    </w:p>
    <w:p w:rsidR="000F6944" w:rsidRDefault="000F6944" w:rsidP="000F694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Pr="000F6944">
        <w:rPr>
          <w:rFonts w:ascii="仿宋_GB2312" w:eastAsia="仿宋_GB2312" w:hAnsi="仿宋" w:hint="eastAsia"/>
          <w:sz w:val="32"/>
          <w:szCs w:val="32"/>
        </w:rPr>
        <w:t>满足行业用户的需求。使得广大用户单位在成为国家级试点和推荐样板之外，可以参照该标准自愿接受第三方机构的评价认证或进行自我评价。</w:t>
      </w:r>
    </w:p>
    <w:p w:rsidR="000F6944" w:rsidRPr="000F6944" w:rsidRDefault="000F6944" w:rsidP="000F6944">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004D4933" w:rsidRPr="004D4933">
        <w:rPr>
          <w:rFonts w:ascii="仿宋_GB2312" w:eastAsia="仿宋_GB2312" w:hAnsi="仿宋"/>
          <w:sz w:val="32"/>
          <w:szCs w:val="32"/>
        </w:rPr>
        <w:t>结合数据中心实际情况,借鉴成熟经验。</w:t>
      </w:r>
      <w:r w:rsidRPr="000F6944">
        <w:rPr>
          <w:rFonts w:ascii="仿宋_GB2312" w:eastAsia="仿宋_GB2312" w:hAnsi="仿宋" w:hint="eastAsia"/>
          <w:sz w:val="32"/>
          <w:szCs w:val="32"/>
        </w:rPr>
        <w:t>数据中心分会专家委员会已开展了深入的基础调研，广泛地征求了相关方面的意见，对主要问题进行了专题论证，进行了反复讨论和协商，以期为数据中心的绿色化设计、建设管理以及评价提供明确的技术指导。</w:t>
      </w:r>
    </w:p>
    <w:p w:rsidR="007F3AB0" w:rsidRPr="00D03504" w:rsidRDefault="00245B29" w:rsidP="000F6944">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本标准与现行法律、法规、标准均</w:t>
      </w:r>
      <w:r w:rsidR="0099678A" w:rsidRPr="00D03504">
        <w:rPr>
          <w:rFonts w:ascii="仿宋_GB2312" w:eastAsia="仿宋_GB2312" w:hAnsi="仿宋" w:hint="eastAsia"/>
          <w:sz w:val="32"/>
          <w:szCs w:val="32"/>
        </w:rPr>
        <w:t>不存在冲突。</w:t>
      </w:r>
    </w:p>
    <w:p w:rsidR="0018217C" w:rsidRDefault="007123BF" w:rsidP="007123BF">
      <w:pPr>
        <w:ind w:firstLineChars="200" w:firstLine="640"/>
        <w:rPr>
          <w:rFonts w:ascii="黑体" w:eastAsia="黑体" w:hAnsi="黑体"/>
          <w:sz w:val="32"/>
          <w:szCs w:val="32"/>
        </w:rPr>
      </w:pPr>
      <w:r w:rsidRPr="00D03504">
        <w:rPr>
          <w:rFonts w:ascii="黑体" w:eastAsia="黑体" w:hAnsi="黑体" w:hint="eastAsia"/>
          <w:sz w:val="32"/>
          <w:szCs w:val="32"/>
        </w:rPr>
        <w:t>五、主要条款的说明，主要技术指标、参数、实验验证的论述</w:t>
      </w:r>
    </w:p>
    <w:p w:rsid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hint="eastAsia"/>
          <w:sz w:val="32"/>
          <w:szCs w:val="32"/>
        </w:rPr>
        <w:t>本标准规定了数据中心的绿色等级</w:t>
      </w:r>
      <w:r>
        <w:rPr>
          <w:rFonts w:ascii="仿宋_GB2312" w:eastAsia="仿宋_GB2312" w:hAnsi="仿宋" w:hint="eastAsia"/>
          <w:sz w:val="32"/>
          <w:szCs w:val="32"/>
        </w:rPr>
        <w:t>，</w:t>
      </w:r>
      <w:r w:rsidRPr="000F6944">
        <w:rPr>
          <w:rFonts w:ascii="仿宋_GB2312" w:eastAsia="仿宋_GB2312" w:hAnsi="仿宋" w:hint="eastAsia"/>
          <w:sz w:val="32"/>
          <w:szCs w:val="32"/>
        </w:rPr>
        <w:t>适用于既有、新建、改扩建的数据中心的设计及运行评价。本标准中数据中心的绿色等级分为</w:t>
      </w:r>
      <w:r w:rsidRPr="000F6944">
        <w:rPr>
          <w:rFonts w:ascii="仿宋_GB2312" w:eastAsia="仿宋_GB2312" w:hAnsi="仿宋"/>
          <w:sz w:val="32"/>
          <w:szCs w:val="32"/>
        </w:rPr>
        <w:t>L1级、L2级、L3级、L4级、L5级，其中L1级为最低等级，L5级为最高等级。按照数据中心能源效率、节能技术、绿色管理、附加分项等四个方面的具体项目进行打分，并根据总分得到该数据中心对应的绿色等级。</w:t>
      </w:r>
    </w:p>
    <w:p w:rsidR="000F6944" w:rsidRPr="00D03504" w:rsidRDefault="000F6944" w:rsidP="000F6944">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本标准主要技术和框架结构如下：</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lastRenderedPageBreak/>
        <w:t>1  范围</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2  规范性引用文件</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3  术语和定义</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4  缩略语</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5  数据中心的绿色分级概述</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  绿色数据中心评价内容</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6.1  能源效率</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6.1.1  数据中心能耗的影响因素分类</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6.1.2  数据中心能耗的测量</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6.1.3  数据中心EEUE调整值</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6.1.4  数据中心EEUE的计算</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6.2  节能技术</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6.2.1  IT设备</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6.2.2  制冷系统</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6.2.3  供配电系统</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6.2.4  其他设备</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6.3  绿色管理</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6.4  附加分项</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7  绿色评级</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7.1  能源效率</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7.2  节能技术</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7.3  绿色管理</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lastRenderedPageBreak/>
        <w:t>7.4  附加分项</w:t>
      </w:r>
    </w:p>
    <w:p w:rsidR="000F6944" w:rsidRPr="000F6944" w:rsidRDefault="000F6944" w:rsidP="000F6944">
      <w:pPr>
        <w:ind w:firstLineChars="200" w:firstLine="640"/>
        <w:rPr>
          <w:rFonts w:ascii="仿宋_GB2312" w:eastAsia="仿宋_GB2312" w:hAnsi="仿宋"/>
          <w:sz w:val="32"/>
          <w:szCs w:val="32"/>
        </w:rPr>
      </w:pPr>
      <w:r w:rsidRPr="000F6944">
        <w:rPr>
          <w:rFonts w:ascii="仿宋_GB2312" w:eastAsia="仿宋_GB2312" w:hAnsi="仿宋"/>
          <w:sz w:val="32"/>
          <w:szCs w:val="32"/>
        </w:rPr>
        <w:t>7.5  级别评定</w:t>
      </w:r>
    </w:p>
    <w:p w:rsidR="0018217C" w:rsidRPr="00D03504" w:rsidRDefault="0018217C" w:rsidP="007123BF">
      <w:pPr>
        <w:ind w:firstLineChars="200" w:firstLine="640"/>
        <w:rPr>
          <w:rFonts w:ascii="黑体" w:eastAsia="黑体" w:hAnsi="黑体"/>
          <w:sz w:val="32"/>
          <w:szCs w:val="32"/>
        </w:rPr>
      </w:pPr>
      <w:r w:rsidRPr="00D03504">
        <w:rPr>
          <w:rFonts w:ascii="黑体" w:eastAsia="黑体" w:hAnsi="黑体" w:hint="eastAsia"/>
          <w:sz w:val="32"/>
          <w:szCs w:val="32"/>
        </w:rPr>
        <w:t>六、采用国际标准和国</w:t>
      </w:r>
      <w:r w:rsidR="007123BF" w:rsidRPr="00D03504">
        <w:rPr>
          <w:rFonts w:ascii="黑体" w:eastAsia="黑体" w:hAnsi="黑体" w:hint="eastAsia"/>
          <w:sz w:val="32"/>
          <w:szCs w:val="32"/>
        </w:rPr>
        <w:t>外先进标准的，说明采标程度，以及与国内外同类标准水平的对比情况</w:t>
      </w:r>
    </w:p>
    <w:p w:rsidR="004D4933" w:rsidRDefault="00DE2C41" w:rsidP="004D4933">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本标准未采用国际标准</w:t>
      </w:r>
      <w:r w:rsidR="004D4933">
        <w:rPr>
          <w:rFonts w:ascii="仿宋_GB2312" w:eastAsia="仿宋_GB2312" w:hAnsi="仿宋" w:hint="eastAsia"/>
          <w:sz w:val="32"/>
          <w:szCs w:val="32"/>
        </w:rPr>
        <w:t>。</w:t>
      </w:r>
    </w:p>
    <w:p w:rsidR="004D4933" w:rsidRPr="00CE2575" w:rsidRDefault="004D4933" w:rsidP="004D4933">
      <w:pPr>
        <w:ind w:firstLineChars="200" w:firstLine="640"/>
        <w:rPr>
          <w:rFonts w:ascii="仿宋_GB2312" w:eastAsia="仿宋_GB2312" w:hAnsi="仿宋"/>
          <w:sz w:val="32"/>
          <w:szCs w:val="32"/>
        </w:rPr>
      </w:pPr>
      <w:r w:rsidRPr="00CE2575">
        <w:rPr>
          <w:rFonts w:ascii="仿宋_GB2312" w:eastAsia="仿宋_GB2312" w:hAnsi="仿宋" w:hint="eastAsia"/>
          <w:sz w:val="32"/>
          <w:szCs w:val="32"/>
        </w:rPr>
        <w:t>国家住房城乡建设部印发了《绿色数据中心建筑评价技术细则》，其作为国家标准</w:t>
      </w:r>
      <w:r w:rsidRPr="00CE2575">
        <w:rPr>
          <w:rFonts w:ascii="仿宋_GB2312" w:eastAsia="仿宋_GB2312" w:hAnsi="仿宋"/>
          <w:sz w:val="32"/>
          <w:szCs w:val="32"/>
        </w:rPr>
        <w:t>GB/T50378-2014《绿色建筑评价标准》的补充，总结了国外近年来绿色数据中心建筑评价的经验与成果，借鉴了国际和国内互联网通信行业数据中心建设的经验，输出了这份技术细则。技术细则从节地与室外环境、节能与能源利用、节水与水资源利用、节材与材料资源利用、室内环境质量、施工管理、运营管理等多个方面进行技术阐述。强调建设绿色数据中心建筑的必要性和重要性，以及详细讲解如何对数据中心建筑进行绿色评价，提供评价依据。这个技术细则的出台，一</w:t>
      </w:r>
      <w:r w:rsidRPr="00CE2575">
        <w:rPr>
          <w:rFonts w:ascii="仿宋_GB2312" w:eastAsia="仿宋_GB2312" w:hAnsi="仿宋" w:hint="eastAsia"/>
          <w:sz w:val="32"/>
          <w:szCs w:val="32"/>
        </w:rPr>
        <w:t>方面丰富了原有的《绿色建筑评价标准》，让绿色数据中心建筑有标准可参考；另一方面对数据中心绿色建设进行评估、监督和管理。但是《绿色数据中心建筑评价技术细则》主要针对于新建、改建、扩建的大型数据中心。</w:t>
      </w:r>
    </w:p>
    <w:p w:rsidR="004D4933" w:rsidRDefault="004D4933" w:rsidP="004D4933">
      <w:pPr>
        <w:ind w:firstLineChars="200" w:firstLine="640"/>
        <w:rPr>
          <w:rFonts w:ascii="仿宋_GB2312" w:eastAsia="仿宋_GB2312" w:hAnsi="仿宋"/>
          <w:sz w:val="32"/>
          <w:szCs w:val="32"/>
        </w:rPr>
      </w:pPr>
      <w:r w:rsidRPr="00CE2575">
        <w:rPr>
          <w:rFonts w:ascii="仿宋_GB2312" w:eastAsia="仿宋_GB2312" w:hAnsi="仿宋" w:hint="eastAsia"/>
          <w:sz w:val="32"/>
          <w:szCs w:val="32"/>
        </w:rPr>
        <w:t>本次提出的《数据中心绿色等级评价标准》适用于对各类型数据中心的评价，将有效补充《绿色数据中心建筑评价技术细则》中的缺欠。</w:t>
      </w:r>
    </w:p>
    <w:p w:rsidR="0018217C" w:rsidRPr="00D03504" w:rsidRDefault="0018217C" w:rsidP="007123BF">
      <w:pPr>
        <w:ind w:firstLineChars="200" w:firstLine="640"/>
        <w:rPr>
          <w:rFonts w:ascii="黑体" w:eastAsia="黑体" w:hAnsi="黑体"/>
          <w:sz w:val="32"/>
          <w:szCs w:val="32"/>
        </w:rPr>
      </w:pPr>
      <w:r w:rsidRPr="00D03504">
        <w:rPr>
          <w:rFonts w:ascii="黑体" w:eastAsia="黑体" w:hAnsi="黑体" w:hint="eastAsia"/>
          <w:sz w:val="32"/>
          <w:szCs w:val="32"/>
        </w:rPr>
        <w:lastRenderedPageBreak/>
        <w:t>七、</w:t>
      </w:r>
      <w:r w:rsidR="007123BF" w:rsidRPr="00D03504">
        <w:rPr>
          <w:rFonts w:ascii="黑体" w:eastAsia="黑体" w:hAnsi="黑体" w:hint="eastAsia"/>
          <w:sz w:val="32"/>
          <w:szCs w:val="32"/>
        </w:rPr>
        <w:t>重大意见分歧的处理依据和结果</w:t>
      </w:r>
    </w:p>
    <w:p w:rsidR="007F3AB0" w:rsidRPr="00D03504" w:rsidRDefault="00A5120E" w:rsidP="007123BF">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无重大</w:t>
      </w:r>
      <w:r w:rsidR="007123BF" w:rsidRPr="00D03504">
        <w:rPr>
          <w:rFonts w:ascii="仿宋_GB2312" w:eastAsia="仿宋_GB2312" w:hAnsi="仿宋" w:hint="eastAsia"/>
          <w:sz w:val="32"/>
          <w:szCs w:val="32"/>
        </w:rPr>
        <w:t>意见</w:t>
      </w:r>
      <w:r w:rsidRPr="00D03504">
        <w:rPr>
          <w:rFonts w:ascii="仿宋_GB2312" w:eastAsia="仿宋_GB2312" w:hAnsi="仿宋" w:hint="eastAsia"/>
          <w:sz w:val="32"/>
          <w:szCs w:val="32"/>
        </w:rPr>
        <w:t>分歧。</w:t>
      </w:r>
    </w:p>
    <w:p w:rsidR="007F3AB0" w:rsidRPr="00D03504" w:rsidRDefault="0099678A" w:rsidP="007123BF">
      <w:pPr>
        <w:ind w:firstLineChars="200" w:firstLine="640"/>
        <w:rPr>
          <w:rFonts w:ascii="黑体" w:eastAsia="黑体" w:hAnsi="黑体"/>
          <w:sz w:val="32"/>
          <w:szCs w:val="32"/>
        </w:rPr>
      </w:pPr>
      <w:r w:rsidRPr="00D03504">
        <w:rPr>
          <w:rFonts w:ascii="黑体" w:eastAsia="黑体" w:hAnsi="黑体" w:hint="eastAsia"/>
          <w:sz w:val="32"/>
          <w:szCs w:val="32"/>
        </w:rPr>
        <w:t>八</w:t>
      </w:r>
      <w:r w:rsidR="007F3AB0" w:rsidRPr="00D03504">
        <w:rPr>
          <w:rFonts w:ascii="黑体" w:eastAsia="黑体" w:hAnsi="黑体" w:hint="eastAsia"/>
          <w:sz w:val="32"/>
          <w:szCs w:val="32"/>
        </w:rPr>
        <w:t>、其他事项说明</w:t>
      </w:r>
    </w:p>
    <w:p w:rsidR="007F3AB0" w:rsidRPr="00D03504" w:rsidRDefault="0001496E" w:rsidP="007123BF">
      <w:pPr>
        <w:ind w:firstLineChars="200" w:firstLine="640"/>
        <w:rPr>
          <w:rFonts w:ascii="仿宋_GB2312" w:eastAsia="仿宋_GB2312" w:hAnsi="仿宋"/>
          <w:sz w:val="32"/>
          <w:szCs w:val="32"/>
        </w:rPr>
      </w:pPr>
      <w:r w:rsidRPr="00D03504">
        <w:rPr>
          <w:rFonts w:ascii="仿宋_GB2312" w:eastAsia="仿宋_GB2312" w:hAnsi="仿宋" w:hint="eastAsia"/>
          <w:sz w:val="32"/>
          <w:szCs w:val="32"/>
        </w:rPr>
        <w:t>本标准不涉及专利、商标等知识产权问题。</w:t>
      </w:r>
    </w:p>
    <w:p w:rsidR="00914B2C" w:rsidRPr="00D03504" w:rsidRDefault="00914B2C" w:rsidP="007123BF">
      <w:pPr>
        <w:ind w:firstLineChars="200" w:firstLine="640"/>
        <w:rPr>
          <w:rFonts w:ascii="仿宋_GB2312" w:eastAsia="仿宋_GB2312" w:hAnsi="仿宋"/>
          <w:sz w:val="32"/>
          <w:szCs w:val="32"/>
        </w:rPr>
      </w:pPr>
    </w:p>
    <w:p w:rsidR="00914B2C" w:rsidRPr="00D03504" w:rsidRDefault="00914B2C" w:rsidP="007123BF">
      <w:pPr>
        <w:ind w:firstLineChars="200" w:firstLine="640"/>
        <w:rPr>
          <w:rFonts w:ascii="仿宋_GB2312" w:eastAsia="仿宋_GB2312" w:hAnsi="仿宋"/>
          <w:sz w:val="32"/>
          <w:szCs w:val="32"/>
        </w:rPr>
      </w:pPr>
    </w:p>
    <w:p w:rsidR="00914B2C" w:rsidRPr="00D03504" w:rsidRDefault="00914B2C" w:rsidP="00914B2C">
      <w:pPr>
        <w:ind w:firstLineChars="200" w:firstLine="640"/>
        <w:jc w:val="right"/>
        <w:rPr>
          <w:rFonts w:ascii="仿宋_GB2312" w:eastAsia="仿宋_GB2312" w:hAnsi="仿宋"/>
          <w:sz w:val="32"/>
          <w:szCs w:val="32"/>
        </w:rPr>
      </w:pPr>
      <w:r w:rsidRPr="00D03504">
        <w:rPr>
          <w:rFonts w:ascii="仿宋_GB2312" w:eastAsia="仿宋_GB2312" w:hAnsi="仿宋" w:hint="eastAsia"/>
          <w:sz w:val="32"/>
          <w:szCs w:val="32"/>
        </w:rPr>
        <w:t>中国计算机用户协会数据中心分会</w:t>
      </w:r>
    </w:p>
    <w:p w:rsidR="00914B2C" w:rsidRPr="00D03504" w:rsidRDefault="00914B2C" w:rsidP="00914B2C">
      <w:pPr>
        <w:ind w:right="960" w:firstLineChars="200" w:firstLine="640"/>
        <w:jc w:val="right"/>
        <w:rPr>
          <w:rFonts w:ascii="仿宋_GB2312" w:eastAsia="仿宋_GB2312" w:hAnsi="仿宋"/>
          <w:sz w:val="32"/>
          <w:szCs w:val="32"/>
        </w:rPr>
      </w:pPr>
      <w:r w:rsidRPr="00D03504">
        <w:rPr>
          <w:rFonts w:ascii="仿宋_GB2312" w:eastAsia="仿宋_GB2312" w:hAnsi="仿宋" w:hint="eastAsia"/>
          <w:sz w:val="32"/>
          <w:szCs w:val="32"/>
        </w:rPr>
        <w:t>201</w:t>
      </w:r>
      <w:r w:rsidR="00E67E4C">
        <w:rPr>
          <w:rFonts w:ascii="仿宋_GB2312" w:eastAsia="仿宋_GB2312" w:hAnsi="仿宋" w:hint="eastAsia"/>
          <w:sz w:val="32"/>
          <w:szCs w:val="32"/>
        </w:rPr>
        <w:t>9</w:t>
      </w:r>
      <w:r w:rsidRPr="00D03504">
        <w:rPr>
          <w:rFonts w:ascii="仿宋_GB2312" w:eastAsia="仿宋_GB2312" w:hAnsi="仿宋" w:hint="eastAsia"/>
          <w:sz w:val="32"/>
          <w:szCs w:val="32"/>
        </w:rPr>
        <w:t>年1</w:t>
      </w:r>
      <w:r w:rsidR="00E67E4C">
        <w:rPr>
          <w:rFonts w:ascii="仿宋_GB2312" w:eastAsia="仿宋_GB2312" w:hAnsi="仿宋" w:hint="eastAsia"/>
          <w:sz w:val="32"/>
          <w:szCs w:val="32"/>
        </w:rPr>
        <w:t>2</w:t>
      </w:r>
      <w:r w:rsidRPr="00D03504">
        <w:rPr>
          <w:rFonts w:ascii="仿宋_GB2312" w:eastAsia="仿宋_GB2312" w:hAnsi="仿宋" w:hint="eastAsia"/>
          <w:sz w:val="32"/>
          <w:szCs w:val="32"/>
        </w:rPr>
        <w:t>月</w:t>
      </w:r>
      <w:r w:rsidR="00E67E4C">
        <w:rPr>
          <w:rFonts w:ascii="仿宋_GB2312" w:eastAsia="仿宋_GB2312" w:hAnsi="仿宋" w:hint="eastAsia"/>
          <w:sz w:val="32"/>
          <w:szCs w:val="32"/>
        </w:rPr>
        <w:t>1</w:t>
      </w:r>
      <w:r w:rsidR="0036488B">
        <w:rPr>
          <w:rFonts w:ascii="仿宋_GB2312" w:eastAsia="仿宋_GB2312" w:hAnsi="仿宋" w:hint="eastAsia"/>
          <w:sz w:val="32"/>
          <w:szCs w:val="32"/>
        </w:rPr>
        <w:t>2</w:t>
      </w:r>
      <w:r w:rsidRPr="00D03504">
        <w:rPr>
          <w:rFonts w:ascii="仿宋_GB2312" w:eastAsia="仿宋_GB2312" w:hAnsi="仿宋" w:hint="eastAsia"/>
          <w:sz w:val="32"/>
          <w:szCs w:val="32"/>
        </w:rPr>
        <w:t>日</w:t>
      </w:r>
    </w:p>
    <w:sectPr w:rsidR="00914B2C" w:rsidRPr="00D0350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C7" w:rsidRDefault="00CD21C7" w:rsidP="0018217C">
      <w:r>
        <w:separator/>
      </w:r>
    </w:p>
  </w:endnote>
  <w:endnote w:type="continuationSeparator" w:id="0">
    <w:p w:rsidR="00CD21C7" w:rsidRDefault="00CD21C7" w:rsidP="0018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83D" w:rsidRDefault="00C8683D" w:rsidP="00C8683D">
    <w:pPr>
      <w:pStyle w:val="a5"/>
      <w:jc w:val="center"/>
    </w:pPr>
    <w:r>
      <w:fldChar w:fldCharType="begin"/>
    </w:r>
    <w:r>
      <w:instrText>PAGE   \* MERGEFORMAT</w:instrText>
    </w:r>
    <w:r>
      <w:fldChar w:fldCharType="separate"/>
    </w:r>
    <w:r w:rsidR="00E054A2" w:rsidRPr="00E054A2">
      <w:rPr>
        <w:noProof/>
        <w:lang w:val="zh-CN"/>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C7" w:rsidRDefault="00CD21C7" w:rsidP="0018217C">
      <w:r>
        <w:separator/>
      </w:r>
    </w:p>
  </w:footnote>
  <w:footnote w:type="continuationSeparator" w:id="0">
    <w:p w:rsidR="00CD21C7" w:rsidRDefault="00CD21C7" w:rsidP="0018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59F"/>
    <w:multiLevelType w:val="hybridMultilevel"/>
    <w:tmpl w:val="C414E60E"/>
    <w:lvl w:ilvl="0" w:tplc="23BE8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642F77"/>
    <w:multiLevelType w:val="multilevel"/>
    <w:tmpl w:val="2AC071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C71606"/>
    <w:multiLevelType w:val="hybridMultilevel"/>
    <w:tmpl w:val="51EC43EC"/>
    <w:lvl w:ilvl="0" w:tplc="4D869A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C51334"/>
    <w:multiLevelType w:val="multilevel"/>
    <w:tmpl w:val="2AC071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0F"/>
    <w:rsid w:val="0001496E"/>
    <w:rsid w:val="00051100"/>
    <w:rsid w:val="00054B0C"/>
    <w:rsid w:val="000E581E"/>
    <w:rsid w:val="000F41F6"/>
    <w:rsid w:val="000F6944"/>
    <w:rsid w:val="000F7368"/>
    <w:rsid w:val="00133B50"/>
    <w:rsid w:val="00165AE5"/>
    <w:rsid w:val="0018217C"/>
    <w:rsid w:val="00244B0F"/>
    <w:rsid w:val="00245B29"/>
    <w:rsid w:val="002E28DE"/>
    <w:rsid w:val="00313BF5"/>
    <w:rsid w:val="00363538"/>
    <w:rsid w:val="0036488B"/>
    <w:rsid w:val="003D1C19"/>
    <w:rsid w:val="004009F9"/>
    <w:rsid w:val="00435867"/>
    <w:rsid w:val="004D4933"/>
    <w:rsid w:val="005745AA"/>
    <w:rsid w:val="005811E2"/>
    <w:rsid w:val="005D3349"/>
    <w:rsid w:val="005D3543"/>
    <w:rsid w:val="00626D37"/>
    <w:rsid w:val="006B6D73"/>
    <w:rsid w:val="006D5A6C"/>
    <w:rsid w:val="007123BF"/>
    <w:rsid w:val="00723C85"/>
    <w:rsid w:val="00745823"/>
    <w:rsid w:val="007F3AB0"/>
    <w:rsid w:val="00843CCB"/>
    <w:rsid w:val="008E450E"/>
    <w:rsid w:val="008F7CB0"/>
    <w:rsid w:val="00914B2C"/>
    <w:rsid w:val="0097268A"/>
    <w:rsid w:val="00983C13"/>
    <w:rsid w:val="0099678A"/>
    <w:rsid w:val="009B4A4B"/>
    <w:rsid w:val="00A308E1"/>
    <w:rsid w:val="00A5120E"/>
    <w:rsid w:val="00AF3B25"/>
    <w:rsid w:val="00B97927"/>
    <w:rsid w:val="00BE555F"/>
    <w:rsid w:val="00C041A8"/>
    <w:rsid w:val="00C327FF"/>
    <w:rsid w:val="00C8683D"/>
    <w:rsid w:val="00C95D9D"/>
    <w:rsid w:val="00CB0EA1"/>
    <w:rsid w:val="00CD21C7"/>
    <w:rsid w:val="00CE2575"/>
    <w:rsid w:val="00D03504"/>
    <w:rsid w:val="00DE2C41"/>
    <w:rsid w:val="00E054A2"/>
    <w:rsid w:val="00E67E4C"/>
    <w:rsid w:val="00EC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F6AF"/>
  <w15:chartTrackingRefBased/>
  <w15:docId w15:val="{5A09405C-8EB7-4740-8A9E-7A882F7A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1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217C"/>
    <w:rPr>
      <w:sz w:val="18"/>
      <w:szCs w:val="18"/>
    </w:rPr>
  </w:style>
  <w:style w:type="paragraph" w:styleId="a5">
    <w:name w:val="footer"/>
    <w:basedOn w:val="a"/>
    <w:link w:val="a6"/>
    <w:uiPriority w:val="99"/>
    <w:unhideWhenUsed/>
    <w:rsid w:val="0018217C"/>
    <w:pPr>
      <w:tabs>
        <w:tab w:val="center" w:pos="4153"/>
        <w:tab w:val="right" w:pos="8306"/>
      </w:tabs>
      <w:snapToGrid w:val="0"/>
      <w:jc w:val="left"/>
    </w:pPr>
    <w:rPr>
      <w:sz w:val="18"/>
      <w:szCs w:val="18"/>
    </w:rPr>
  </w:style>
  <w:style w:type="character" w:customStyle="1" w:styleId="a6">
    <w:name w:val="页脚 字符"/>
    <w:basedOn w:val="a0"/>
    <w:link w:val="a5"/>
    <w:uiPriority w:val="99"/>
    <w:rsid w:val="0018217C"/>
    <w:rPr>
      <w:sz w:val="18"/>
      <w:szCs w:val="18"/>
    </w:rPr>
  </w:style>
  <w:style w:type="paragraph" w:styleId="a7">
    <w:name w:val="List Paragraph"/>
    <w:basedOn w:val="a"/>
    <w:uiPriority w:val="34"/>
    <w:qFormat/>
    <w:rsid w:val="001821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7</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GXTY</cp:lastModifiedBy>
  <cp:revision>34</cp:revision>
  <dcterms:created xsi:type="dcterms:W3CDTF">2018-11-03T06:12:00Z</dcterms:created>
  <dcterms:modified xsi:type="dcterms:W3CDTF">2019-12-13T07:16:00Z</dcterms:modified>
</cp:coreProperties>
</file>